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1D6E" w14:textId="57EB3DEA" w:rsidR="003A403B" w:rsidRPr="005E610A" w:rsidRDefault="00B37D4E" w:rsidP="00B37D4E">
      <w:pPr>
        <w:jc w:val="center"/>
        <w:rPr>
          <w:rFonts w:ascii="Calibri" w:hAnsi="Calibri" w:cs="Calibri"/>
        </w:rPr>
      </w:pPr>
      <w:r w:rsidRPr="005E610A">
        <w:rPr>
          <w:rFonts w:ascii="Calibri" w:hAnsi="Calibri" w:cs="Calibri"/>
        </w:rPr>
        <w:t xml:space="preserve">University of Arkansas </w:t>
      </w:r>
      <w:r w:rsidRPr="005E610A">
        <w:rPr>
          <w:rFonts w:ascii="Calibri" w:hAnsi="Calibri" w:cs="Calibri"/>
          <w:i/>
          <w:iCs/>
        </w:rPr>
        <w:t xml:space="preserve">Field Guide to Writing </w:t>
      </w:r>
      <w:r w:rsidRPr="005E610A">
        <w:rPr>
          <w:rFonts w:ascii="Calibri" w:hAnsi="Calibri" w:cs="Calibri"/>
        </w:rPr>
        <w:t xml:space="preserve">and </w:t>
      </w:r>
      <w:r w:rsidRPr="005E610A">
        <w:rPr>
          <w:rFonts w:ascii="Calibri" w:hAnsi="Calibri" w:cs="Calibri"/>
          <w:i/>
          <w:iCs/>
        </w:rPr>
        <w:t>Dash of Style</w:t>
      </w:r>
      <w:r w:rsidRPr="005E610A">
        <w:rPr>
          <w:rFonts w:ascii="Calibri" w:hAnsi="Calibri" w:cs="Calibri"/>
        </w:rPr>
        <w:t xml:space="preserve"> Setup Instructions</w:t>
      </w:r>
    </w:p>
    <w:p w14:paraId="76B32C7F" w14:textId="52BEF2F4" w:rsidR="00B37D4E" w:rsidRPr="005E610A" w:rsidRDefault="00B37D4E" w:rsidP="00B37D4E">
      <w:pPr>
        <w:jc w:val="center"/>
        <w:rPr>
          <w:rFonts w:ascii="Calibri" w:hAnsi="Calibri" w:cs="Calibri"/>
        </w:rPr>
      </w:pPr>
    </w:p>
    <w:p w14:paraId="63D41275" w14:textId="50C164A3" w:rsidR="00031825" w:rsidRPr="005E610A" w:rsidRDefault="00031825" w:rsidP="00B37D4E">
      <w:pPr>
        <w:rPr>
          <w:rFonts w:ascii="Calibri" w:hAnsi="Calibri" w:cs="Calibri"/>
          <w:b/>
          <w:bCs/>
        </w:rPr>
      </w:pPr>
      <w:r w:rsidRPr="005E610A">
        <w:rPr>
          <w:rFonts w:ascii="Calibri" w:hAnsi="Calibri" w:cs="Calibri"/>
          <w:b/>
          <w:bCs/>
        </w:rPr>
        <w:t>Links you’ll need:</w:t>
      </w:r>
    </w:p>
    <w:p w14:paraId="21E028C4" w14:textId="2F88992E" w:rsidR="00031825" w:rsidRPr="005E610A" w:rsidRDefault="00031825" w:rsidP="00B37D4E">
      <w:pPr>
        <w:rPr>
          <w:rFonts w:ascii="Calibri" w:hAnsi="Calibri" w:cs="Calibri"/>
          <w:b/>
          <w:bCs/>
        </w:rPr>
      </w:pPr>
    </w:p>
    <w:tbl>
      <w:tblPr>
        <w:tblW w:w="944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930"/>
      </w:tblGrid>
      <w:tr w:rsidR="00031825" w:rsidRPr="00031825" w14:paraId="3A17CD1C" w14:textId="77777777" w:rsidTr="00031825">
        <w:trPr>
          <w:trHeight w:val="520"/>
        </w:trPr>
        <w:tc>
          <w:tcPr>
            <w:tcW w:w="25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EF71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r w:rsidRPr="00031825">
              <w:rPr>
                <w:rFonts w:ascii="Calibri" w:hAnsi="Calibri" w:cs="Calibri"/>
                <w:i/>
                <w:iCs/>
                <w:color w:val="333333"/>
              </w:rPr>
              <w:t xml:space="preserve">Norton Field Guide with Readings 5e </w:t>
            </w:r>
            <w:proofErr w:type="spellStart"/>
            <w:r w:rsidRPr="00031825">
              <w:rPr>
                <w:rFonts w:ascii="Calibri" w:hAnsi="Calibri" w:cs="Calibri"/>
                <w:i/>
                <w:iCs/>
                <w:color w:val="333333"/>
              </w:rPr>
              <w:t>ebook</w:t>
            </w:r>
            <w:proofErr w:type="spellEnd"/>
          </w:p>
        </w:tc>
        <w:tc>
          <w:tcPr>
            <w:tcW w:w="693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AD7F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hyperlink r:id="rId5" w:tooltip="https://ncia.wwnorton.com/ebookfieldguide5r-fieldguide5rdashofstyle" w:history="1"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https://ncia.wwnorton.com/ebookfieldguide5r-fieldguide5rdashofstyle</w:t>
              </w:r>
            </w:hyperlink>
          </w:p>
        </w:tc>
      </w:tr>
      <w:tr w:rsidR="00031825" w:rsidRPr="00031825" w14:paraId="74E9038D" w14:textId="77777777" w:rsidTr="00031825">
        <w:trPr>
          <w:trHeight w:val="610"/>
        </w:trPr>
        <w:tc>
          <w:tcPr>
            <w:tcW w:w="25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7B32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r w:rsidRPr="00031825">
              <w:rPr>
                <w:rFonts w:ascii="Calibri" w:hAnsi="Calibri" w:cs="Calibri"/>
                <w:i/>
                <w:iCs/>
                <w:color w:val="333333"/>
              </w:rPr>
              <w:t xml:space="preserve">Little Seagull 3e </w:t>
            </w:r>
            <w:proofErr w:type="spellStart"/>
            <w:r w:rsidRPr="00031825">
              <w:rPr>
                <w:rFonts w:ascii="Calibri" w:hAnsi="Calibri" w:cs="Calibri"/>
                <w:i/>
                <w:iCs/>
                <w:color w:val="333333"/>
              </w:rPr>
              <w:t>ebook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706B5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hyperlink r:id="rId6" w:history="1"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https://ncia.wwnorton.com/ebooklittleseagull3-fieldguide5rdashofstyle</w:t>
              </w:r>
            </w:hyperlink>
          </w:p>
        </w:tc>
      </w:tr>
      <w:tr w:rsidR="00031825" w:rsidRPr="00031825" w14:paraId="5591EFE8" w14:textId="77777777" w:rsidTr="00031825">
        <w:trPr>
          <w:trHeight w:val="610"/>
        </w:trPr>
        <w:tc>
          <w:tcPr>
            <w:tcW w:w="25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2219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r w:rsidRPr="00031825">
              <w:rPr>
                <w:rFonts w:ascii="Calibri" w:hAnsi="Calibri" w:cs="Calibri"/>
                <w:i/>
                <w:iCs/>
                <w:color w:val="333333"/>
              </w:rPr>
              <w:t xml:space="preserve">Dash of Style </w:t>
            </w:r>
            <w:proofErr w:type="spellStart"/>
            <w:r w:rsidRPr="00031825">
              <w:rPr>
                <w:rFonts w:ascii="Calibri" w:hAnsi="Calibri" w:cs="Calibri"/>
                <w:i/>
                <w:iCs/>
                <w:color w:val="333333"/>
              </w:rPr>
              <w:t>ebook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E5E3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hyperlink r:id="rId7" w:history="1"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https://ncia.w</w:t>
              </w:r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w</w:t>
              </w:r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norton.com/ebook-fieldguide5rdashofstyle</w:t>
              </w:r>
            </w:hyperlink>
          </w:p>
        </w:tc>
      </w:tr>
      <w:tr w:rsidR="00031825" w:rsidRPr="00031825" w14:paraId="7D5F3329" w14:textId="77777777" w:rsidTr="00031825">
        <w:trPr>
          <w:trHeight w:val="610"/>
        </w:trPr>
        <w:tc>
          <w:tcPr>
            <w:tcW w:w="25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8B32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proofErr w:type="spellStart"/>
            <w:r w:rsidRPr="00031825">
              <w:rPr>
                <w:rFonts w:ascii="Calibri" w:hAnsi="Calibri" w:cs="Calibri"/>
                <w:color w:val="333333"/>
              </w:rPr>
              <w:t>InQuizitive</w:t>
            </w:r>
            <w:proofErr w:type="spellEnd"/>
            <w:r w:rsidRPr="00031825">
              <w:rPr>
                <w:rFonts w:ascii="Calibri" w:hAnsi="Calibri" w:cs="Calibri"/>
                <w:color w:val="333333"/>
              </w:rPr>
              <w:t xml:space="preserve"> for Writers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D6ED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hyperlink r:id="rId8" w:history="1"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https://ncia.wwnorton.com/inquizitive-fieldguide5rdashofstyle</w:t>
              </w:r>
            </w:hyperlink>
          </w:p>
        </w:tc>
      </w:tr>
      <w:tr w:rsidR="00031825" w:rsidRPr="00031825" w14:paraId="5C156625" w14:textId="77777777" w:rsidTr="00031825">
        <w:trPr>
          <w:trHeight w:val="790"/>
        </w:trPr>
        <w:tc>
          <w:tcPr>
            <w:tcW w:w="25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AFC5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r w:rsidRPr="00031825">
              <w:rPr>
                <w:rFonts w:ascii="Calibri" w:hAnsi="Calibri" w:cs="Calibri"/>
                <w:color w:val="333333"/>
              </w:rPr>
              <w:t>Model Student Papers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E66C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hyperlink r:id="rId9" w:history="1"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https://ncia.wwnorton.com/modelstudentpapersinthefieldofstudy-fieldguide5rdashofstyle</w:t>
              </w:r>
            </w:hyperlink>
          </w:p>
        </w:tc>
      </w:tr>
      <w:tr w:rsidR="00031825" w:rsidRPr="00031825" w14:paraId="7FA07290" w14:textId="77777777" w:rsidTr="00031825">
        <w:trPr>
          <w:trHeight w:val="790"/>
        </w:trPr>
        <w:tc>
          <w:tcPr>
            <w:tcW w:w="25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7A06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r w:rsidRPr="00031825">
              <w:rPr>
                <w:rFonts w:ascii="Calibri" w:hAnsi="Calibri" w:cs="Calibri"/>
                <w:color w:val="333333"/>
              </w:rPr>
              <w:t>Worksheets and Helpful Links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1730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hyperlink r:id="rId10" w:history="1"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https://ncia.wwnorton.com/studentsite-fieldguide5rdashofstyle</w:t>
              </w:r>
            </w:hyperlink>
          </w:p>
        </w:tc>
      </w:tr>
      <w:tr w:rsidR="00031825" w:rsidRPr="00031825" w14:paraId="61A4D3FB" w14:textId="77777777" w:rsidTr="00031825">
        <w:trPr>
          <w:trHeight w:val="520"/>
        </w:trPr>
        <w:tc>
          <w:tcPr>
            <w:tcW w:w="25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EE41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proofErr w:type="spellStart"/>
            <w:r w:rsidRPr="00031825">
              <w:rPr>
                <w:rFonts w:ascii="Calibri" w:hAnsi="Calibri" w:cs="Calibri"/>
                <w:color w:val="333333"/>
              </w:rPr>
              <w:t>norton</w:t>
            </w:r>
            <w:proofErr w:type="spellEnd"/>
            <w:r w:rsidRPr="00031825">
              <w:rPr>
                <w:rFonts w:ascii="Calibri" w:hAnsi="Calibri" w:cs="Calibri"/>
                <w:color w:val="333333"/>
              </w:rPr>
              <w:t>/write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1BD7" w14:textId="77777777" w:rsidR="00031825" w:rsidRPr="00031825" w:rsidRDefault="00031825" w:rsidP="00031825">
            <w:pPr>
              <w:rPr>
                <w:rFonts w:ascii="Calibri" w:hAnsi="Calibri" w:cs="Calibri"/>
              </w:rPr>
            </w:pPr>
            <w:hyperlink r:id="rId11" w:history="1">
              <w:r w:rsidRPr="00031825">
                <w:rPr>
                  <w:rFonts w:ascii="Calibri" w:hAnsi="Calibri" w:cs="Calibri"/>
                  <w:color w:val="954F72"/>
                  <w:sz w:val="22"/>
                  <w:szCs w:val="22"/>
                  <w:u w:val="single"/>
                </w:rPr>
                <w:t>https://ncia.wwnorton.com/90589</w:t>
              </w:r>
            </w:hyperlink>
          </w:p>
        </w:tc>
      </w:tr>
    </w:tbl>
    <w:p w14:paraId="02244967" w14:textId="77777777" w:rsidR="00031825" w:rsidRPr="005E610A" w:rsidRDefault="00031825" w:rsidP="00B37D4E">
      <w:pPr>
        <w:rPr>
          <w:rFonts w:ascii="Calibri" w:hAnsi="Calibri" w:cs="Calibri"/>
          <w:b/>
          <w:bCs/>
        </w:rPr>
      </w:pPr>
    </w:p>
    <w:p w14:paraId="027B6D5C" w14:textId="3B80D727" w:rsidR="00B37D4E" w:rsidRDefault="00B37D4E" w:rsidP="00B37D4E">
      <w:pPr>
        <w:rPr>
          <w:rFonts w:ascii="Calibri" w:hAnsi="Calibri" w:cs="Calibri"/>
          <w:b/>
          <w:bCs/>
        </w:rPr>
      </w:pPr>
      <w:r w:rsidRPr="005E610A">
        <w:rPr>
          <w:rFonts w:ascii="Calibri" w:hAnsi="Calibri" w:cs="Calibri"/>
          <w:b/>
          <w:bCs/>
        </w:rPr>
        <w:t>Add the material to your Blackboard course</w:t>
      </w:r>
    </w:p>
    <w:p w14:paraId="1922A811" w14:textId="77777777" w:rsidR="005E610A" w:rsidRDefault="005E610A" w:rsidP="00B37D4E">
      <w:pPr>
        <w:rPr>
          <w:rFonts w:ascii="Calibri" w:hAnsi="Calibri" w:cs="Calibri"/>
          <w:b/>
          <w:bCs/>
        </w:rPr>
      </w:pPr>
    </w:p>
    <w:p w14:paraId="5BD30CC9" w14:textId="3CAB096B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 to a content area within your Blackboard course</w:t>
      </w:r>
    </w:p>
    <w:p w14:paraId="089518CE" w14:textId="4ABF18D7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Build Content</w:t>
      </w:r>
    </w:p>
    <w:p w14:paraId="79C0142F" w14:textId="1C5CEC5F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Choose Web Link from the dropdown</w:t>
      </w:r>
    </w:p>
    <w:p w14:paraId="6AFFBF31" w14:textId="6E58D664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Give the link a name</w:t>
      </w:r>
    </w:p>
    <w:p w14:paraId="6125ADF1" w14:textId="1BF07BF6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Enter in one of the URLs from above </w:t>
      </w:r>
    </w:p>
    <w:p w14:paraId="73D0526C" w14:textId="413C940B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Check the box that says this link is to a Tool Provider</w:t>
      </w:r>
    </w:p>
    <w:p w14:paraId="4C083EAA" w14:textId="28254885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allow grades to transfer for </w:t>
      </w:r>
      <w:proofErr w:type="spellStart"/>
      <w:r>
        <w:rPr>
          <w:rFonts w:ascii="Calibri" w:hAnsi="Calibri" w:cs="Calibri"/>
        </w:rPr>
        <w:t>InQuizitive</w:t>
      </w:r>
      <w:proofErr w:type="spellEnd"/>
      <w:r>
        <w:rPr>
          <w:rFonts w:ascii="Calibri" w:hAnsi="Calibri" w:cs="Calibri"/>
        </w:rPr>
        <w:t>, select Yes on Enable Evaluation and enter in a point value</w:t>
      </w:r>
    </w:p>
    <w:p w14:paraId="06BE553D" w14:textId="4E08CED9" w:rsidR="005E610A" w:rsidRDefault="005E610A" w:rsidP="005E610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Skip this step for ungraded links</w:t>
      </w:r>
      <w:r w:rsidR="00183B36">
        <w:rPr>
          <w:rFonts w:ascii="Calibri" w:hAnsi="Calibri" w:cs="Calibri"/>
        </w:rPr>
        <w:t xml:space="preserve">, like the links to the </w:t>
      </w:r>
      <w:proofErr w:type="spellStart"/>
      <w:r w:rsidR="00183B36">
        <w:rPr>
          <w:rFonts w:ascii="Calibri" w:hAnsi="Calibri" w:cs="Calibri"/>
        </w:rPr>
        <w:t>ebooks</w:t>
      </w:r>
      <w:proofErr w:type="spellEnd"/>
    </w:p>
    <w:p w14:paraId="63E7BEE2" w14:textId="33E4B8E0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Make sure that Open in New Window is set to Yes</w:t>
      </w:r>
    </w:p>
    <w:p w14:paraId="68954456" w14:textId="669458F8" w:rsidR="005E610A" w:rsidRDefault="005E610A" w:rsidP="005E610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Click Submit</w:t>
      </w:r>
    </w:p>
    <w:p w14:paraId="64260BAB" w14:textId="710DAF5F" w:rsidR="004A6473" w:rsidRDefault="004A6473" w:rsidP="004A6473">
      <w:pPr>
        <w:rPr>
          <w:rFonts w:ascii="Calibri" w:hAnsi="Calibri" w:cs="Calibri"/>
        </w:rPr>
      </w:pPr>
    </w:p>
    <w:p w14:paraId="350DC227" w14:textId="7AF75CCA" w:rsidR="004A6473" w:rsidRPr="004A6473" w:rsidRDefault="004A6473" w:rsidP="004A64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Here’s a video on this process: </w:t>
      </w:r>
      <w:hyperlink r:id="rId12" w:history="1">
        <w:r w:rsidRPr="005E610A">
          <w:rPr>
            <w:rStyle w:val="Hyperlink"/>
            <w:rFonts w:ascii="Calibri" w:hAnsi="Calibri" w:cs="Calibri"/>
          </w:rPr>
          <w:t>https://www.youtube.com/watch?v=ts6-VufbECc&amp;t=1s&amp;index=5&amp;list=PL3Ph6ooC5W4TLd1WSXonl06PSO9bPukyo</w:t>
        </w:r>
      </w:hyperlink>
      <w:r>
        <w:rPr>
          <w:rFonts w:ascii="Calibri" w:hAnsi="Calibri" w:cs="Calibri"/>
        </w:rPr>
        <w:t xml:space="preserve"> </w:t>
      </w:r>
    </w:p>
    <w:p w14:paraId="772164F4" w14:textId="572AE01F" w:rsidR="00B37D4E" w:rsidRPr="005E610A" w:rsidRDefault="00B37D4E" w:rsidP="00B37D4E">
      <w:pPr>
        <w:rPr>
          <w:rFonts w:ascii="Calibri" w:hAnsi="Calibri" w:cs="Calibri"/>
        </w:rPr>
      </w:pPr>
    </w:p>
    <w:p w14:paraId="22E4EC4A" w14:textId="61051A6D" w:rsidR="00B37D4E" w:rsidRDefault="00B37D4E" w:rsidP="00B37D4E">
      <w:pPr>
        <w:rPr>
          <w:rFonts w:ascii="Calibri" w:hAnsi="Calibri" w:cs="Calibri"/>
          <w:b/>
          <w:bCs/>
        </w:rPr>
      </w:pPr>
      <w:r w:rsidRPr="005E610A">
        <w:rPr>
          <w:rFonts w:ascii="Calibri" w:hAnsi="Calibri" w:cs="Calibri"/>
          <w:b/>
          <w:bCs/>
        </w:rPr>
        <w:t>Crea</w:t>
      </w:r>
      <w:r w:rsidR="008973C1" w:rsidRPr="005E610A">
        <w:rPr>
          <w:rFonts w:ascii="Calibri" w:hAnsi="Calibri" w:cs="Calibri"/>
          <w:b/>
          <w:bCs/>
        </w:rPr>
        <w:t>t</w:t>
      </w:r>
      <w:r w:rsidR="00183B36">
        <w:rPr>
          <w:rFonts w:ascii="Calibri" w:hAnsi="Calibri" w:cs="Calibri"/>
          <w:b/>
          <w:bCs/>
        </w:rPr>
        <w:t>e</w:t>
      </w:r>
      <w:r w:rsidR="008973C1" w:rsidRPr="005E610A">
        <w:rPr>
          <w:rFonts w:ascii="Calibri" w:hAnsi="Calibri" w:cs="Calibri"/>
          <w:b/>
          <w:bCs/>
        </w:rPr>
        <w:t xml:space="preserve"> the student set</w:t>
      </w:r>
    </w:p>
    <w:p w14:paraId="50040992" w14:textId="77777777" w:rsidR="005E610A" w:rsidRDefault="005E610A" w:rsidP="00B37D4E">
      <w:pPr>
        <w:rPr>
          <w:rFonts w:ascii="Calibri" w:hAnsi="Calibri" w:cs="Calibri"/>
          <w:b/>
          <w:bCs/>
        </w:rPr>
      </w:pPr>
    </w:p>
    <w:p w14:paraId="57D99C09" w14:textId="2C5A5725" w:rsidR="005E610A" w:rsidRPr="005E610A" w:rsidRDefault="005E610A" w:rsidP="005E61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E610A">
        <w:rPr>
          <w:rFonts w:ascii="Calibri" w:hAnsi="Calibri" w:cs="Calibri"/>
        </w:rPr>
        <w:t>Click on the link you just built</w:t>
      </w:r>
    </w:p>
    <w:p w14:paraId="20CDED8E" w14:textId="4810D09D" w:rsidR="005E610A" w:rsidRPr="005E610A" w:rsidRDefault="005E610A" w:rsidP="005E61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E610A">
        <w:rPr>
          <w:rFonts w:ascii="Calibri" w:hAnsi="Calibri" w:cs="Calibri"/>
        </w:rPr>
        <w:t>Sign in with your Norton account</w:t>
      </w:r>
    </w:p>
    <w:p w14:paraId="7EC203D5" w14:textId="435F8C1E" w:rsidR="00031825" w:rsidRDefault="005E610A" w:rsidP="00B37D4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E610A">
        <w:rPr>
          <w:rFonts w:ascii="Calibri" w:hAnsi="Calibri" w:cs="Calibri"/>
        </w:rPr>
        <w:t>Follow the prompts to create a new student set</w:t>
      </w:r>
    </w:p>
    <w:p w14:paraId="207F24F4" w14:textId="69D4441A" w:rsidR="005E610A" w:rsidRPr="005E610A" w:rsidRDefault="004A6473" w:rsidP="00B37D4E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Here’s a video on this process: </w:t>
      </w:r>
      <w:hyperlink r:id="rId13" w:history="1">
        <w:r w:rsidRPr="005E610A">
          <w:rPr>
            <w:rStyle w:val="Hyperlink"/>
            <w:rFonts w:ascii="Calibri" w:hAnsi="Calibri" w:cs="Calibri"/>
          </w:rPr>
          <w:t>https://www.youtube.com/watch?v=M6P27Nkl-iQ&amp;index=11&amp;list=PL3Ph6ooC5W4TLd1WSXonl06PSO9bPukyo</w:t>
        </w:r>
      </w:hyperlink>
    </w:p>
    <w:p w14:paraId="60FFA4DC" w14:textId="4A6485AE" w:rsidR="00031825" w:rsidRPr="005E610A" w:rsidRDefault="00031825" w:rsidP="00B37D4E">
      <w:pPr>
        <w:rPr>
          <w:rFonts w:ascii="Calibri" w:hAnsi="Calibri" w:cs="Calibri"/>
          <w:b/>
          <w:bCs/>
        </w:rPr>
      </w:pPr>
    </w:p>
    <w:p w14:paraId="0D69446C" w14:textId="7206E7ED" w:rsidR="00031825" w:rsidRPr="005E610A" w:rsidRDefault="00031825" w:rsidP="00B37D4E">
      <w:pPr>
        <w:rPr>
          <w:rFonts w:ascii="Calibri" w:hAnsi="Calibri" w:cs="Calibri"/>
        </w:rPr>
      </w:pPr>
      <w:r w:rsidRPr="005E610A">
        <w:rPr>
          <w:rFonts w:ascii="Calibri" w:hAnsi="Calibri" w:cs="Calibri"/>
          <w:b/>
          <w:bCs/>
        </w:rPr>
        <w:t>Student registration instructions</w:t>
      </w:r>
    </w:p>
    <w:p w14:paraId="0DFC5441" w14:textId="782C3A44" w:rsidR="00031825" w:rsidRDefault="00031825" w:rsidP="00B37D4E">
      <w:pPr>
        <w:rPr>
          <w:rFonts w:ascii="Calibri" w:hAnsi="Calibri" w:cs="Calibri"/>
        </w:rPr>
      </w:pPr>
      <w:hyperlink r:id="rId14" w:history="1">
        <w:r w:rsidRPr="005E610A">
          <w:rPr>
            <w:rStyle w:val="Hyperlink"/>
            <w:rFonts w:ascii="Calibri" w:hAnsi="Calibri" w:cs="Calibri"/>
          </w:rPr>
          <w:t>https://drive.google.com/open?id=13M-Z5b3CA-M7guGKKQEnGpiDLS9wQHV1</w:t>
        </w:r>
      </w:hyperlink>
      <w:r w:rsidRPr="005E610A">
        <w:rPr>
          <w:rFonts w:ascii="Calibri" w:hAnsi="Calibri" w:cs="Calibri"/>
        </w:rPr>
        <w:t xml:space="preserve"> </w:t>
      </w:r>
    </w:p>
    <w:p w14:paraId="53C42DED" w14:textId="1BDAAC32" w:rsidR="005E610A" w:rsidRPr="005E610A" w:rsidRDefault="005E610A" w:rsidP="00B37D4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 can link this video into your Blackboard course and go over it on the first day of class to show students how they will access their course materials. </w:t>
      </w:r>
    </w:p>
    <w:p w14:paraId="61ADCF07" w14:textId="63EC290A" w:rsidR="00031825" w:rsidRPr="005E610A" w:rsidRDefault="00031825" w:rsidP="00B37D4E">
      <w:pPr>
        <w:rPr>
          <w:rFonts w:ascii="Calibri" w:hAnsi="Calibri" w:cs="Calibri"/>
          <w:b/>
          <w:bCs/>
        </w:rPr>
      </w:pPr>
    </w:p>
    <w:p w14:paraId="75EF5B3E" w14:textId="2817A2DE" w:rsidR="00031825" w:rsidRPr="005E610A" w:rsidRDefault="00031825" w:rsidP="00B37D4E">
      <w:pPr>
        <w:rPr>
          <w:rFonts w:ascii="Calibri" w:hAnsi="Calibri" w:cs="Calibri"/>
        </w:rPr>
      </w:pPr>
      <w:r w:rsidRPr="005E610A">
        <w:rPr>
          <w:rFonts w:ascii="Calibri" w:hAnsi="Calibri" w:cs="Calibri"/>
          <w:b/>
          <w:bCs/>
        </w:rPr>
        <w:t>Common troubleshooting issues</w:t>
      </w:r>
    </w:p>
    <w:p w14:paraId="2DCFEA7A" w14:textId="1C631D45" w:rsidR="00031825" w:rsidRPr="005E610A" w:rsidRDefault="00031825" w:rsidP="00B37D4E">
      <w:pPr>
        <w:rPr>
          <w:rFonts w:ascii="Calibri" w:hAnsi="Calibri" w:cs="Calibri"/>
        </w:rPr>
      </w:pPr>
    </w:p>
    <w:p w14:paraId="21669677" w14:textId="03D1B5A2" w:rsidR="00031825" w:rsidRPr="005E610A" w:rsidRDefault="00031825" w:rsidP="00B37D4E">
      <w:pPr>
        <w:rPr>
          <w:rFonts w:ascii="Calibri" w:hAnsi="Calibri" w:cs="Calibri"/>
        </w:rPr>
      </w:pPr>
      <w:r w:rsidRPr="005E610A">
        <w:rPr>
          <w:rFonts w:ascii="Calibri" w:hAnsi="Calibri" w:cs="Calibri"/>
          <w:u w:val="single"/>
        </w:rPr>
        <w:t>Problem</w:t>
      </w:r>
      <w:r w:rsidRPr="005E610A">
        <w:rPr>
          <w:rFonts w:ascii="Calibri" w:hAnsi="Calibri" w:cs="Calibri"/>
        </w:rPr>
        <w:t xml:space="preserve">: Students are receiving a message that says “Access Denied” when they attempt to get to the materials. </w:t>
      </w:r>
    </w:p>
    <w:p w14:paraId="02B14DD6" w14:textId="458F767A" w:rsidR="00031825" w:rsidRPr="005E610A" w:rsidRDefault="00031825" w:rsidP="00B37D4E">
      <w:pPr>
        <w:rPr>
          <w:rFonts w:ascii="Calibri" w:hAnsi="Calibri" w:cs="Calibri"/>
        </w:rPr>
      </w:pPr>
      <w:r w:rsidRPr="005E610A">
        <w:rPr>
          <w:rFonts w:ascii="Calibri" w:hAnsi="Calibri" w:cs="Calibri"/>
          <w:u w:val="single"/>
        </w:rPr>
        <w:t>Solution</w:t>
      </w:r>
      <w:r w:rsidRPr="005E610A">
        <w:rPr>
          <w:rFonts w:ascii="Calibri" w:hAnsi="Calibri" w:cs="Calibri"/>
        </w:rPr>
        <w:t xml:space="preserve">: Instructor needs to go back and follow the instructions in the “creating the student set” section. When a student set is not connected, students get the access denied message. </w:t>
      </w:r>
    </w:p>
    <w:p w14:paraId="2BC0FD17" w14:textId="25BA1BDF" w:rsidR="00031825" w:rsidRPr="005E610A" w:rsidRDefault="00031825" w:rsidP="00B37D4E">
      <w:pPr>
        <w:rPr>
          <w:rFonts w:ascii="Calibri" w:hAnsi="Calibri" w:cs="Calibri"/>
        </w:rPr>
      </w:pPr>
    </w:p>
    <w:p w14:paraId="6FCBFC8C" w14:textId="3E27CEFA" w:rsidR="00031825" w:rsidRPr="005E610A" w:rsidRDefault="00031825" w:rsidP="00B37D4E">
      <w:pPr>
        <w:rPr>
          <w:rFonts w:ascii="Calibri" w:hAnsi="Calibri" w:cs="Calibri"/>
        </w:rPr>
      </w:pPr>
      <w:r w:rsidRPr="005E610A">
        <w:rPr>
          <w:rFonts w:ascii="Calibri" w:hAnsi="Calibri" w:cs="Calibri"/>
          <w:u w:val="single"/>
        </w:rPr>
        <w:t>Problem</w:t>
      </w:r>
      <w:r w:rsidRPr="005E610A">
        <w:rPr>
          <w:rFonts w:ascii="Calibri" w:hAnsi="Calibri" w:cs="Calibri"/>
        </w:rPr>
        <w:t xml:space="preserve">: Certain students are being asked to sign in or create accounts. </w:t>
      </w:r>
    </w:p>
    <w:p w14:paraId="183C31E7" w14:textId="5315F15B" w:rsidR="00031825" w:rsidRPr="005E610A" w:rsidRDefault="00031825" w:rsidP="00B37D4E">
      <w:pPr>
        <w:rPr>
          <w:rFonts w:ascii="Calibri" w:hAnsi="Calibri" w:cs="Calibri"/>
        </w:rPr>
      </w:pPr>
      <w:r w:rsidRPr="005E610A">
        <w:rPr>
          <w:rFonts w:ascii="Calibri" w:hAnsi="Calibri" w:cs="Calibri"/>
          <w:u w:val="single"/>
        </w:rPr>
        <w:t>Solution 1</w:t>
      </w:r>
      <w:r w:rsidRPr="005E610A">
        <w:rPr>
          <w:rFonts w:ascii="Calibri" w:hAnsi="Calibri" w:cs="Calibri"/>
        </w:rPr>
        <w:t>: Students aren’t using the links in Blackboard to access the material and are instead going directly to the web site for the book, either the custom one or the non-custom title. Re-direct students back to the links in Blackboard.</w:t>
      </w:r>
    </w:p>
    <w:p w14:paraId="0BD923E7" w14:textId="1B49DF40" w:rsidR="00031825" w:rsidRDefault="00031825" w:rsidP="00B37D4E">
      <w:pPr>
        <w:rPr>
          <w:rFonts w:ascii="Calibri" w:hAnsi="Calibri" w:cs="Calibri"/>
        </w:rPr>
      </w:pPr>
      <w:r w:rsidRPr="005E610A">
        <w:rPr>
          <w:rFonts w:ascii="Calibri" w:hAnsi="Calibri" w:cs="Calibri"/>
          <w:u w:val="single"/>
        </w:rPr>
        <w:t>Solution 2</w:t>
      </w:r>
      <w:r w:rsidRPr="005E610A">
        <w:rPr>
          <w:rFonts w:ascii="Calibri" w:hAnsi="Calibri" w:cs="Calibri"/>
        </w:rPr>
        <w:t xml:space="preserve">: If you’ve verified that </w:t>
      </w:r>
      <w:proofErr w:type="spellStart"/>
      <w:r w:rsidRPr="005E610A">
        <w:rPr>
          <w:rFonts w:ascii="Calibri" w:hAnsi="Calibri" w:cs="Calibri"/>
        </w:rPr>
        <w:t>students</w:t>
      </w:r>
      <w:proofErr w:type="spellEnd"/>
      <w:r w:rsidRPr="005E610A">
        <w:rPr>
          <w:rFonts w:ascii="Calibri" w:hAnsi="Calibri" w:cs="Calibri"/>
        </w:rPr>
        <w:t xml:space="preserve"> are using the links in Blackboard to sign in, then double check to make sure that the settings on the link have it set to open in a new window. When the link is not set to open in a new window, some students might be asked to sign in.</w:t>
      </w:r>
    </w:p>
    <w:p w14:paraId="7C064B8D" w14:textId="188D4DFF" w:rsidR="00B45D93" w:rsidRDefault="00B45D93" w:rsidP="00B37D4E">
      <w:pPr>
        <w:rPr>
          <w:rFonts w:ascii="Calibri" w:hAnsi="Calibri" w:cs="Calibri"/>
        </w:rPr>
      </w:pPr>
    </w:p>
    <w:p w14:paraId="7FF5E728" w14:textId="5E395554" w:rsidR="00B45D93" w:rsidRDefault="00B45D93" w:rsidP="00B37D4E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Problem</w:t>
      </w:r>
      <w:r>
        <w:rPr>
          <w:rFonts w:ascii="Calibri" w:hAnsi="Calibri" w:cs="Calibri"/>
        </w:rPr>
        <w:t xml:space="preserve">: Student grades aren’t transferring from </w:t>
      </w:r>
      <w:proofErr w:type="spellStart"/>
      <w:r>
        <w:rPr>
          <w:rFonts w:ascii="Calibri" w:hAnsi="Calibri" w:cs="Calibri"/>
        </w:rPr>
        <w:t>InQuizitive</w:t>
      </w:r>
      <w:proofErr w:type="spellEnd"/>
      <w:r>
        <w:rPr>
          <w:rFonts w:ascii="Calibri" w:hAnsi="Calibri" w:cs="Calibri"/>
        </w:rPr>
        <w:t xml:space="preserve"> to Blackboard.</w:t>
      </w:r>
    </w:p>
    <w:p w14:paraId="588B5613" w14:textId="0E894BE5" w:rsidR="00B45D93" w:rsidRPr="00B45D93" w:rsidRDefault="00B45D93" w:rsidP="00B37D4E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Solution</w:t>
      </w:r>
      <w:r>
        <w:rPr>
          <w:rFonts w:ascii="Calibri" w:hAnsi="Calibri" w:cs="Calibri"/>
        </w:rPr>
        <w:t xml:space="preserve">: First, make sure that enable evaluation is set to yes on the web link and that the link is set to open in a new window. If those are both correct, then tell the student to access </w:t>
      </w:r>
      <w:proofErr w:type="spellStart"/>
      <w:r>
        <w:rPr>
          <w:rFonts w:ascii="Calibri" w:hAnsi="Calibri" w:cs="Calibri"/>
        </w:rPr>
        <w:t>InQuizitive</w:t>
      </w:r>
      <w:proofErr w:type="spellEnd"/>
      <w:r>
        <w:rPr>
          <w:rFonts w:ascii="Calibri" w:hAnsi="Calibri" w:cs="Calibri"/>
        </w:rPr>
        <w:t xml:space="preserve"> from the link in Blackboard, and their grades will transfer. Grades don’t transfer when students access </w:t>
      </w:r>
      <w:proofErr w:type="spellStart"/>
      <w:r>
        <w:rPr>
          <w:rFonts w:ascii="Calibri" w:hAnsi="Calibri" w:cs="Calibri"/>
        </w:rPr>
        <w:t>InQuizitive</w:t>
      </w:r>
      <w:proofErr w:type="spellEnd"/>
      <w:r>
        <w:rPr>
          <w:rFonts w:ascii="Calibri" w:hAnsi="Calibri" w:cs="Calibri"/>
        </w:rPr>
        <w:t xml:space="preserve"> from outside of Blackboard, which they often do by Googling “</w:t>
      </w:r>
      <w:proofErr w:type="spellStart"/>
      <w:r>
        <w:rPr>
          <w:rFonts w:ascii="Calibri" w:hAnsi="Calibri" w:cs="Calibri"/>
        </w:rPr>
        <w:t>InQuizitive</w:t>
      </w:r>
      <w:proofErr w:type="spellEnd"/>
      <w:r>
        <w:rPr>
          <w:rFonts w:ascii="Calibri" w:hAnsi="Calibri" w:cs="Calibri"/>
        </w:rPr>
        <w:t xml:space="preserve"> for Writers” and completing work that way. Using the link in Blackboard will solve the problem and transfer their grade.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</w:p>
    <w:p w14:paraId="306A9B4D" w14:textId="77777777" w:rsidR="00031825" w:rsidRPr="005E610A" w:rsidRDefault="00031825" w:rsidP="00B37D4E">
      <w:pPr>
        <w:rPr>
          <w:rFonts w:ascii="Calibri" w:hAnsi="Calibri" w:cs="Calibri"/>
        </w:rPr>
      </w:pPr>
    </w:p>
    <w:sectPr w:rsidR="00031825" w:rsidRPr="005E610A" w:rsidSect="0030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D3B29"/>
    <w:multiLevelType w:val="hybridMultilevel"/>
    <w:tmpl w:val="8DB4A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10EF"/>
    <w:multiLevelType w:val="hybridMultilevel"/>
    <w:tmpl w:val="B2F29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4E"/>
    <w:rsid w:val="00031825"/>
    <w:rsid w:val="00183B36"/>
    <w:rsid w:val="002427A0"/>
    <w:rsid w:val="00304519"/>
    <w:rsid w:val="00382781"/>
    <w:rsid w:val="00497DF3"/>
    <w:rsid w:val="004A6473"/>
    <w:rsid w:val="005E610A"/>
    <w:rsid w:val="005F7481"/>
    <w:rsid w:val="00641067"/>
    <w:rsid w:val="00815827"/>
    <w:rsid w:val="0083365B"/>
    <w:rsid w:val="008754CD"/>
    <w:rsid w:val="008973C1"/>
    <w:rsid w:val="00B37D4E"/>
    <w:rsid w:val="00B45D93"/>
    <w:rsid w:val="00D77BB1"/>
    <w:rsid w:val="00E61CD4"/>
    <w:rsid w:val="00F0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38651"/>
  <w15:chartTrackingRefBased/>
  <w15:docId w15:val="{1BD7EB26-0013-0041-B361-FFFA03A9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0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82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0318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318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31825"/>
  </w:style>
  <w:style w:type="character" w:styleId="UnresolvedMention">
    <w:name w:val="Unresolved Mention"/>
    <w:basedOn w:val="DefaultParagraphFont"/>
    <w:uiPriority w:val="99"/>
    <w:semiHidden/>
    <w:unhideWhenUsed/>
    <w:rsid w:val="000318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ia.wwnorton.com/inquizitive-fieldguide5rdashofstyle" TargetMode="External"/><Relationship Id="rId13" Type="http://schemas.openxmlformats.org/officeDocument/2006/relationships/hyperlink" Target="https://www.youtube.com/watch?v=M6P27Nkl-iQ&amp;index=11&amp;list=PL3Ph6ooC5W4TLd1WSXonl06PSO9bPuky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ia.wwnorton.com/ebook-fieldguide5rdashofstyle" TargetMode="External"/><Relationship Id="rId12" Type="http://schemas.openxmlformats.org/officeDocument/2006/relationships/hyperlink" Target="https://www.youtube.com/watch?v=ts6-VufbECc&amp;t=1s&amp;index=5&amp;list=PL3Ph6ooC5W4TLd1WSXonl06PSO9bPuky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cia.wwnorton.com/ebooklittleseagull3-fieldguide5rdashofstyle" TargetMode="External"/><Relationship Id="rId11" Type="http://schemas.openxmlformats.org/officeDocument/2006/relationships/hyperlink" Target="https://ncia.wwnorton.com/90589" TargetMode="External"/><Relationship Id="rId5" Type="http://schemas.openxmlformats.org/officeDocument/2006/relationships/hyperlink" Target="https://ncia.wwnorton.com/ebookfieldguide5r-fieldguide5rdashofstyl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cia.wwnorton.com/studentsite-fieldguide5rdashofsty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ia.wwnorton.com/modelstudentpapersinthefieldofstudy-fieldguide5rdashofstyle" TargetMode="External"/><Relationship Id="rId14" Type="http://schemas.openxmlformats.org/officeDocument/2006/relationships/hyperlink" Target="https://drive.google.com/open?id=13M-Z5b3CA-M7guGKKQEnGpiDLS9wQH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Rayner, Marilyn</dc:creator>
  <cp:keywords/>
  <dc:description/>
  <cp:lastModifiedBy>Rayner, Marilyn</cp:lastModifiedBy>
  <cp:revision>5</cp:revision>
  <dcterms:created xsi:type="dcterms:W3CDTF">2019-12-05T22:32:00Z</dcterms:created>
  <dcterms:modified xsi:type="dcterms:W3CDTF">2019-12-11T05:05:00Z</dcterms:modified>
</cp:coreProperties>
</file>